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90A2" w14:textId="6CBC1754" w:rsidR="00F20278" w:rsidRDefault="00064C36" w:rsidP="00AC5F17">
      <w:pPr>
        <w:jc w:val="center"/>
        <w:rPr>
          <w:rFonts w:ascii="Segoe UI" w:hAnsi="Segoe UI" w:cs="Segoe UI"/>
          <w:b/>
          <w:bCs/>
          <w:color w:val="FF0000"/>
        </w:rPr>
      </w:pPr>
      <w:r>
        <w:rPr>
          <w:rFonts w:ascii="Segoe UI" w:hAnsi="Segoe UI" w:cs="Segoe UI"/>
          <w:b/>
          <w:bCs/>
          <w:color w:val="FF0000"/>
        </w:rPr>
        <w:t>ELECTRICAL, VENTILATION, AIR CONDITIONING AND REFRIGERATION PRE RENEWAL FORM</w:t>
      </w:r>
    </w:p>
    <w:p w14:paraId="7DF8C0F3" w14:textId="77777777" w:rsidR="00AC5F17" w:rsidRPr="007A5653" w:rsidRDefault="00AC5F17"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r w:rsidRPr="00625A84">
              <w:rPr>
                <w:rFonts w:ascii="Segoe UI" w:hAnsi="Segoe UI" w:cs="Segoe UI"/>
                <w:sz w:val="18"/>
                <w:szCs w:val="18"/>
              </w:rPr>
              <w:t>labour-only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63EC44D1" w14:textId="77777777" w:rsidR="00AC5F17" w:rsidRDefault="00B75E60" w:rsidP="00AC5F17">
      <w:pPr>
        <w:jc w:val="center"/>
        <w:rPr>
          <w:rFonts w:ascii="Segoe UI" w:hAnsi="Segoe UI" w:cs="Segoe UI"/>
          <w:b/>
          <w:bCs/>
          <w:color w:val="FF0000"/>
        </w:rPr>
      </w:pPr>
      <w:r>
        <w:rPr>
          <w:rFonts w:ascii="Segoe UI" w:hAnsi="Segoe UI" w:cs="Segoe UI"/>
          <w:b/>
          <w:bCs/>
          <w:color w:val="FF0000"/>
        </w:rPr>
        <w:br w:type="page"/>
      </w:r>
      <w:r w:rsidR="00AC5F17">
        <w:rPr>
          <w:rFonts w:ascii="Segoe UI" w:hAnsi="Segoe UI" w:cs="Segoe UI"/>
          <w:b/>
          <w:bCs/>
          <w:color w:val="FF0000"/>
        </w:rPr>
        <w:lastRenderedPageBreak/>
        <w:t>DECLARATIONS &amp; ESTIMATES</w:t>
      </w:r>
    </w:p>
    <w:p w14:paraId="7A18E9F4" w14:textId="77777777" w:rsidR="00AC5F17" w:rsidRDefault="00AC5F17" w:rsidP="00AC5F17">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AC5F17" w14:paraId="6D2A17D3" w14:textId="77777777" w:rsidTr="00AC5F17">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28D4224A" w14:textId="77777777" w:rsidR="00AC5F17" w:rsidRDefault="00AC5F1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D34330B" w14:textId="77777777" w:rsidR="00AC5F17" w:rsidRDefault="00AC5F1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069715C0" w14:textId="77777777" w:rsidR="00AC5F17" w:rsidRDefault="00AC5F1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AC5F17" w14:paraId="0CF30D05"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2E0F8E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B8BA11"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6C7F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4B2E86F7"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47346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Aerials and satellites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B17CF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135EF3"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488EE841"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2FC80C7"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Automist systems or water mist fire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E54456"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7B5C40"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09E86976"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D70D9C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Building management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5EC0A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11334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6E7FF7C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422785C" w14:textId="77777777" w:rsidR="00AC5F17" w:rsidRDefault="00AC5F17">
            <w:pPr>
              <w:rPr>
                <w:rFonts w:ascii="Segoe UI" w:hAnsi="Segoe UI" w:cs="Segoe UI"/>
                <w:sz w:val="18"/>
                <w:szCs w:val="18"/>
              </w:rPr>
            </w:pPr>
            <w:r>
              <w:rPr>
                <w:rFonts w:ascii="Segoe UI" w:hAnsi="Segoe UI" w:cs="Segoe UI"/>
                <w:sz w:val="18"/>
                <w:szCs w:val="18"/>
              </w:rPr>
              <w:t>CCTV / access control &amp; door entry systems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702682"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820ED6"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5690C0E5"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E50F3BE"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Data cabling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A39C43"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AE80D2"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0939A3C6"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A44EB69"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Electric vechicle charging points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07C2EF"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E0F9B"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3CB9B4E2"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34C9D27"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Electrified fencing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3599D1"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5AA6B0"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7753FD9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B5D2130"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Fire alarms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CEF52B"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A05E71"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6F2CAAD0"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C33D926"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Fire risk assessments, consultancy or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1E849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D22D9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489E7F4C"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FA1D20B"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Fixed fire extinguishers and gas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03B9CE"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FBC418"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2F04FD17"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3865164"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General maintenance, non structural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ED2771"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0F0A2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543CDE3D"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D6E387D"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Heating and/or plumbing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7A0B25"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0A6E79"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68E33702"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E26B289"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Home automation / audio visual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9C0C95"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9B8FAA"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483C63BA"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FC24827"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Intruder alarms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56E6C0"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DEFA7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37A7CF9B"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FCABA00"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Nurse call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4E6D4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C28651"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7F57832C"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BD442A7"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Portable fire extinguishers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0DD63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E0A646"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1413329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B503495"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FE23C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B049F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145EEE3A"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F87E5B4"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Pure supply of electrical / HVAC / heating and plumbing / home automation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83FBF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66EB54"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36302138"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8E5F287"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Refrigeration excluding abattoirs, cold stores, large-scale supermarkets, warehouse/storage facilities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95D526"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EDDCF"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58DA3606"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F77451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Refrigeration in abattoirs, cold stores, large-scale supermarkets, warehouse/storage facilities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1BAA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83517E"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2D5D38ED"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657698F"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Smoke ventilation and / or fire dampers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796393"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EDC2F7"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0C0C74FA"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C5DA29A"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Solar PV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33EB39"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D3DE85"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6AF8E3EE"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4F05A6F"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Solar thermal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CA3655"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324D6"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3A01E51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94D1885"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Sprinklers / wet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B29848"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88E68F"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0F469DC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5BDDDAB"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Street lighting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EDEC2D"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8A21F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713C0A33"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31EF3D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Temperature alarms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7C78AE"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2EB0A9"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1415A0F6"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7603952"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Ventilation and air conditioning excluding commercial kitchens and restaurants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83BCC2"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ED1A45"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1F33C6AA"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CCCB351" w14:textId="77777777" w:rsidR="00AC5F17" w:rsidRDefault="00AC5F17">
            <w:pPr>
              <w:pStyle w:val="NoSpacing"/>
              <w:spacing w:line="276" w:lineRule="auto"/>
              <w:rPr>
                <w:rFonts w:ascii="Segoe UI" w:hAnsi="Segoe UI" w:cs="Segoe UI"/>
                <w:sz w:val="18"/>
                <w:szCs w:val="18"/>
              </w:rPr>
            </w:pPr>
            <w:r>
              <w:rPr>
                <w:rFonts w:ascii="Segoe UI" w:hAnsi="Segoe UI" w:cs="Segoe UI"/>
                <w:sz w:val="18"/>
                <w:szCs w:val="18"/>
              </w:rPr>
              <w:t>Ventilation and air conditioning in commercial kitchens and restaurants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07FBDF"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5684DB"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AC5F17" w14:paraId="7F876EA1" w14:textId="77777777" w:rsidTr="00AC5F17">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20591A09" w14:textId="77777777" w:rsidR="00AC5F17" w:rsidRDefault="00AC5F17">
            <w:pPr>
              <w:pStyle w:val="NoSpacing"/>
              <w:spacing w:line="276"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Other - please specify works:</w:t>
            </w:r>
          </w:p>
          <w:p w14:paraId="1548A08A" w14:textId="77777777" w:rsidR="00AC5F17" w:rsidRDefault="00AC5F17">
            <w:pPr>
              <w:pStyle w:val="NoSpacing"/>
              <w:spacing w:line="276" w:lineRule="auto"/>
              <w:rPr>
                <w:rFonts w:ascii="Segoe UI" w:hAnsi="Segoe UI" w:cs="Segoe UI"/>
                <w:sz w:val="18"/>
                <w:szCs w:val="18"/>
              </w:rPr>
            </w:pPr>
          </w:p>
          <w:p w14:paraId="1E439CBC" w14:textId="77777777" w:rsidR="00AC5F17" w:rsidRDefault="00AC5F17">
            <w:pPr>
              <w:pStyle w:val="NoSpacing"/>
              <w:spacing w:line="276" w:lineRule="auto"/>
              <w:rPr>
                <w:rFonts w:ascii="Segoe UI" w:hAnsi="Segoe UI" w:cs="Segoe UI"/>
                <w:sz w:val="18"/>
                <w:szCs w:val="18"/>
              </w:rPr>
            </w:pPr>
          </w:p>
          <w:p w14:paraId="22E0A088" w14:textId="77777777" w:rsidR="00AC5F17" w:rsidRDefault="00AC5F17">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1E7B38C8"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3E0D0C" w14:textId="77777777" w:rsidR="00AC5F17" w:rsidRDefault="00AC5F17">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09AC1EA3"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lastRenderedPageBreak/>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(petro)</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00064C36">
              <w:rPr>
                <w:rFonts w:ascii="Segoe UI" w:eastAsia="MS Gothic" w:hAnsi="Segoe UI" w:cs="Segoe UI"/>
                <w:sz w:val="18"/>
                <w:szCs w:val="18"/>
              </w:rPr>
            </w:r>
            <w:r w:rsidR="00064C36">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sidR="00064C36">
              <w:rPr>
                <w:rFonts w:ascii="Segoe UI" w:hAnsi="Segoe UI" w:cs="Segoe UI"/>
                <w:sz w:val="18"/>
                <w:szCs w:val="18"/>
              </w:rPr>
            </w:r>
            <w:r w:rsidR="00064C36">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7729" w14:textId="77777777" w:rsidR="00503B5A" w:rsidRDefault="00503B5A">
      <w:r>
        <w:separator/>
      </w:r>
    </w:p>
  </w:endnote>
  <w:endnote w:type="continuationSeparator" w:id="0">
    <w:p w14:paraId="027500BD" w14:textId="77777777" w:rsidR="00503B5A" w:rsidRDefault="00503B5A">
      <w:r>
        <w:continuationSeparator/>
      </w:r>
    </w:p>
  </w:endnote>
  <w:endnote w:type="continuationNotice" w:id="1">
    <w:p w14:paraId="5DD168DD" w14:textId="77777777" w:rsidR="00503B5A" w:rsidRDefault="0050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ACE" w14:textId="77777777" w:rsidR="00503B5A" w:rsidRDefault="00503B5A">
      <w:r>
        <w:separator/>
      </w:r>
    </w:p>
  </w:footnote>
  <w:footnote w:type="continuationSeparator" w:id="0">
    <w:p w14:paraId="6DF84F69" w14:textId="77777777" w:rsidR="00503B5A" w:rsidRDefault="00503B5A">
      <w:r>
        <w:continuationSeparator/>
      </w:r>
    </w:p>
  </w:footnote>
  <w:footnote w:type="continuationNotice" w:id="1">
    <w:p w14:paraId="53E69937" w14:textId="77777777" w:rsidR="00503B5A" w:rsidRDefault="0050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64C36"/>
    <w:rsid w:val="00073237"/>
    <w:rsid w:val="000A6CFA"/>
    <w:rsid w:val="000B06A7"/>
    <w:rsid w:val="000B4026"/>
    <w:rsid w:val="000F0DF7"/>
    <w:rsid w:val="000F2A4F"/>
    <w:rsid w:val="000F51A6"/>
    <w:rsid w:val="00104121"/>
    <w:rsid w:val="001133EF"/>
    <w:rsid w:val="00163640"/>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45242"/>
    <w:rsid w:val="00646571"/>
    <w:rsid w:val="0066738F"/>
    <w:rsid w:val="006944FE"/>
    <w:rsid w:val="006A0E33"/>
    <w:rsid w:val="006B0C6B"/>
    <w:rsid w:val="006E4893"/>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C5F17"/>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516529283">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SSRC Cleaning Pre Renewal Form</Template>
  <TotalTime>0</TotalTime>
  <Pages>7</Pages>
  <Words>1738</Words>
  <Characters>9909</Characters>
  <Application>Microsoft Office Word</Application>
  <DocSecurity>0</DocSecurity>
  <Lines>82</Lines>
  <Paragraphs>23</Paragraphs>
  <ScaleCrop>false</ScaleCrop>
  <Company>Acturis Ltd</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Laura S. Williams</cp:lastModifiedBy>
  <cp:revision>4</cp:revision>
  <dcterms:created xsi:type="dcterms:W3CDTF">2022-04-28T14:08:00Z</dcterms:created>
  <dcterms:modified xsi:type="dcterms:W3CDTF">2022-04-28T15:42:00Z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